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46D4D" w14:textId="77777777" w:rsidR="008F2282" w:rsidRDefault="008F2282" w:rsidP="007D196B">
      <w:pPr>
        <w:jc w:val="center"/>
        <w:rPr>
          <w:sz w:val="36"/>
        </w:rPr>
      </w:pPr>
    </w:p>
    <w:p w14:paraId="1C9187B1" w14:textId="77777777" w:rsidR="00F13197" w:rsidRPr="00926925" w:rsidRDefault="00F13197" w:rsidP="007D196B">
      <w:pPr>
        <w:jc w:val="center"/>
        <w:rPr>
          <w:sz w:val="36"/>
        </w:rPr>
      </w:pPr>
      <w:r>
        <w:rPr>
          <w:sz w:val="36"/>
        </w:rPr>
        <w:t>2018 Change to Age Bands and Rate Formulas</w:t>
      </w:r>
    </w:p>
    <w:p w14:paraId="5A1DE482" w14:textId="77777777" w:rsidR="006929DD" w:rsidRDefault="006929DD"/>
    <w:p w14:paraId="142A11E0" w14:textId="77777777" w:rsidR="00E74985" w:rsidRPr="003377F4" w:rsidRDefault="00E74985" w:rsidP="00E74985">
      <w:pPr>
        <w:ind w:left="-900"/>
        <w:rPr>
          <w:rFonts w:eastAsia="Times New Roman" w:cs="Times New Roman"/>
          <w:color w:val="auto"/>
        </w:rPr>
      </w:pPr>
      <w:r w:rsidRPr="003377F4">
        <w:rPr>
          <w:rFonts w:eastAsia="Times New Roman" w:cs="Arial"/>
          <w:color w:val="222222"/>
          <w:shd w:val="clear" w:color="auto" w:fill="FFFFFF"/>
        </w:rPr>
        <w:t>Beginning in 2018, for the individual and small group markets, the ACA creates seven age bands and modifies the formulas used to set rates for enrollees who are under 21. Currently there is only one age band and one rate for those under 21. The new formulas are 20% to 53% higher than the current formulas. Due to this ACA mandated change, rates for enrollees under 21 (including dependents) may be subject to moderate to significant rate increases in 2018.</w:t>
      </w:r>
    </w:p>
    <w:p w14:paraId="2CFC83FC" w14:textId="77777777" w:rsidR="00E74985" w:rsidRPr="00E74985" w:rsidRDefault="00E74985" w:rsidP="00E74985">
      <w:pPr>
        <w:tabs>
          <w:tab w:val="left" w:pos="3960"/>
        </w:tabs>
        <w:ind w:left="-900" w:right="-630"/>
      </w:pPr>
    </w:p>
    <w:p w14:paraId="6E602A91" w14:textId="77777777" w:rsidR="00E74985" w:rsidRPr="00E74985" w:rsidRDefault="00E74985" w:rsidP="00E74985">
      <w:pPr>
        <w:tabs>
          <w:tab w:val="left" w:pos="3960"/>
        </w:tabs>
        <w:ind w:left="-900" w:right="-630"/>
        <w:rPr>
          <w:b/>
        </w:rPr>
      </w:pPr>
      <w:r w:rsidRPr="00E74985">
        <w:rPr>
          <w:b/>
        </w:rPr>
        <w:t>Why is this change happening?</w:t>
      </w:r>
    </w:p>
    <w:p w14:paraId="7A4DFC93" w14:textId="77777777" w:rsidR="00E74985" w:rsidRPr="003377F4" w:rsidRDefault="00E74985" w:rsidP="00E74985">
      <w:pPr>
        <w:ind w:left="-900"/>
        <w:rPr>
          <w:rFonts w:eastAsia="Times New Roman" w:cs="Times New Roman"/>
          <w:color w:val="auto"/>
        </w:rPr>
      </w:pPr>
      <w:r w:rsidRPr="003377F4">
        <w:rPr>
          <w:rFonts w:eastAsia="Times New Roman" w:cs="Arial"/>
          <w:color w:val="222222"/>
          <w:shd w:val="clear" w:color="auto" w:fill="FFFFFF"/>
        </w:rPr>
        <w:t>According to the American Academy of Actuaries, “HHS is replacing the single age band with multiple child age bands to better reflect the actuarial risk of children and to provide a more gradual transition from child to adult age rating.”</w:t>
      </w:r>
    </w:p>
    <w:p w14:paraId="1CDF9601" w14:textId="77777777" w:rsidR="00E74985" w:rsidRPr="00E74985" w:rsidRDefault="00E74985" w:rsidP="00E74985">
      <w:pPr>
        <w:tabs>
          <w:tab w:val="left" w:pos="3960"/>
        </w:tabs>
        <w:ind w:left="-900" w:right="-630"/>
      </w:pPr>
    </w:p>
    <w:p w14:paraId="488A6EEB" w14:textId="77777777" w:rsidR="00E74985" w:rsidRPr="00E74985" w:rsidRDefault="00E74985" w:rsidP="00E74985">
      <w:pPr>
        <w:tabs>
          <w:tab w:val="left" w:pos="3960"/>
        </w:tabs>
        <w:ind w:left="-900" w:right="-630"/>
        <w:rPr>
          <w:b/>
        </w:rPr>
      </w:pPr>
      <w:r w:rsidRPr="00E74985">
        <w:rPr>
          <w:b/>
        </w:rPr>
        <w:t>What are the seven age bands create by the ACA for 2018?</w:t>
      </w:r>
    </w:p>
    <w:p w14:paraId="01CDFCF3" w14:textId="649CE25F" w:rsidR="00E74985" w:rsidRPr="003377F4" w:rsidRDefault="00E74985" w:rsidP="00E74985">
      <w:pPr>
        <w:ind w:left="-900"/>
        <w:rPr>
          <w:rFonts w:eastAsia="Times New Roman" w:cs="Times New Roman"/>
          <w:color w:val="auto"/>
        </w:rPr>
      </w:pPr>
      <w:r w:rsidRPr="003377F4">
        <w:rPr>
          <w:rFonts w:eastAsia="Times New Roman" w:cs="Arial"/>
          <w:color w:val="222222"/>
          <w:shd w:val="clear" w:color="auto" w:fill="FFFFFF"/>
        </w:rPr>
        <w:t>In the individual and small group markets, seven age bands will exist in 2018 for subscribers ages 0-14, 15, 16, 17, 18, 19, and 20. Currently there is only one age band for those ages 0-2</w:t>
      </w:r>
      <w:r w:rsidR="00D90677">
        <w:rPr>
          <w:rFonts w:eastAsia="Times New Roman" w:cs="Arial"/>
          <w:color w:val="222222"/>
          <w:shd w:val="clear" w:color="auto" w:fill="FFFFFF"/>
        </w:rPr>
        <w:t>0</w:t>
      </w:r>
      <w:bookmarkStart w:id="0" w:name="_GoBack"/>
      <w:bookmarkEnd w:id="0"/>
      <w:r w:rsidRPr="003377F4">
        <w:rPr>
          <w:rFonts w:eastAsia="Times New Roman" w:cs="Arial"/>
          <w:color w:val="222222"/>
          <w:shd w:val="clear" w:color="auto" w:fill="FFFFFF"/>
        </w:rPr>
        <w:t>.</w:t>
      </w:r>
    </w:p>
    <w:p w14:paraId="566DA601" w14:textId="77777777" w:rsidR="00E74985" w:rsidRPr="00E74985" w:rsidRDefault="00E74985" w:rsidP="00E74985">
      <w:pPr>
        <w:tabs>
          <w:tab w:val="left" w:pos="3960"/>
        </w:tabs>
        <w:ind w:right="-630"/>
        <w:rPr>
          <w:b/>
        </w:rPr>
      </w:pPr>
    </w:p>
    <w:p w14:paraId="47866941" w14:textId="77777777" w:rsidR="00E74985" w:rsidRPr="00E74985" w:rsidRDefault="00E74985" w:rsidP="00E74985">
      <w:pPr>
        <w:tabs>
          <w:tab w:val="left" w:pos="3960"/>
        </w:tabs>
        <w:ind w:left="-900" w:right="-630"/>
        <w:rPr>
          <w:b/>
        </w:rPr>
      </w:pPr>
      <w:r w:rsidRPr="00E74985">
        <w:rPr>
          <w:b/>
        </w:rPr>
        <w:t>Who will be affected by the change?</w:t>
      </w:r>
    </w:p>
    <w:p w14:paraId="0A80BAE2" w14:textId="77777777" w:rsidR="00E74985" w:rsidRPr="003377F4" w:rsidRDefault="00E74985" w:rsidP="00E74985">
      <w:pPr>
        <w:ind w:left="-900"/>
        <w:rPr>
          <w:rFonts w:eastAsia="Times New Roman" w:cs="Times New Roman"/>
          <w:color w:val="auto"/>
        </w:rPr>
      </w:pPr>
      <w:r w:rsidRPr="003377F4">
        <w:rPr>
          <w:rFonts w:eastAsia="Times New Roman" w:cs="Arial"/>
          <w:color w:val="222222"/>
          <w:shd w:val="clear" w:color="auto" w:fill="FFFFFF"/>
        </w:rPr>
        <w:t>As a result of the change in the age bands and formulas, there will be a 20-50 percent increase in the under-21 rates, depending on age. There may be a decrease in the rate of enrollees who are 21 and older. According to the American Academy of Actuaries, “because of the single risk pool and index rating requirements, the increase in child rates results in a decrease in adult rates, albeit of a significantly smaller magnitude.”</w:t>
      </w:r>
      <w:r w:rsidRPr="003377F4">
        <w:rPr>
          <w:rFonts w:eastAsia="Times New Roman" w:cs="Arial"/>
          <w:color w:val="222222"/>
        </w:rPr>
        <w:br/>
      </w:r>
      <w:r w:rsidRPr="003377F4">
        <w:rPr>
          <w:rFonts w:eastAsia="Times New Roman" w:cs="Arial"/>
          <w:color w:val="222222"/>
        </w:rPr>
        <w:br/>
      </w:r>
      <w:r w:rsidRPr="003377F4">
        <w:rPr>
          <w:rFonts w:eastAsia="Times New Roman" w:cs="Arial"/>
          <w:color w:val="222222"/>
          <w:shd w:val="clear" w:color="auto" w:fill="FFFFFF"/>
        </w:rPr>
        <w:t>Those covered by grandfathered plans are not affected. Groups sitused outside of California may have a variation of the rate formula applied.</w:t>
      </w:r>
    </w:p>
    <w:p w14:paraId="078E2288" w14:textId="77777777" w:rsidR="00E74985" w:rsidRPr="00E74985" w:rsidRDefault="00E74985" w:rsidP="00E74985">
      <w:pPr>
        <w:tabs>
          <w:tab w:val="left" w:pos="3960"/>
        </w:tabs>
        <w:ind w:left="-900" w:right="-630"/>
      </w:pPr>
    </w:p>
    <w:p w14:paraId="72CF783F" w14:textId="77777777" w:rsidR="00E74985" w:rsidRPr="00E74985" w:rsidRDefault="00E74985" w:rsidP="00E74985">
      <w:pPr>
        <w:pStyle w:val="Normal1"/>
        <w:tabs>
          <w:tab w:val="left" w:pos="3960"/>
        </w:tabs>
        <w:ind w:left="-900" w:right="-630"/>
        <w:rPr>
          <w:rFonts w:ascii="Calibri" w:eastAsia="Calibri" w:hAnsi="Calibri" w:cs="Calibri"/>
          <w:b/>
        </w:rPr>
      </w:pPr>
      <w:r w:rsidRPr="00E74985">
        <w:rPr>
          <w:rFonts w:ascii="Calibri" w:eastAsia="Calibri" w:hAnsi="Calibri" w:cs="Calibri"/>
          <w:b/>
        </w:rPr>
        <w:t>When will the change take effect?</w:t>
      </w:r>
    </w:p>
    <w:p w14:paraId="1C44F59C" w14:textId="77777777" w:rsidR="00E74985" w:rsidRPr="003377F4" w:rsidRDefault="00E74985" w:rsidP="00E74985">
      <w:pPr>
        <w:ind w:left="-900"/>
        <w:rPr>
          <w:rFonts w:eastAsia="Times New Roman" w:cs="Times New Roman"/>
          <w:color w:val="auto"/>
        </w:rPr>
      </w:pPr>
      <w:r w:rsidRPr="003377F4">
        <w:rPr>
          <w:rFonts w:eastAsia="Times New Roman" w:cs="Arial"/>
          <w:color w:val="222222"/>
          <w:shd w:val="clear" w:color="auto" w:fill="FFFFFF"/>
        </w:rPr>
        <w:t>The new age bands and formulas take effect </w:t>
      </w:r>
      <w:r w:rsidRPr="00E74985">
        <w:rPr>
          <w:rFonts w:eastAsia="Times New Roman" w:cs="Arial"/>
          <w:color w:val="222222"/>
          <w:shd w:val="clear" w:color="auto" w:fill="FFFFFF"/>
        </w:rPr>
        <w:t>January 1, 2018</w:t>
      </w:r>
      <w:r w:rsidRPr="003377F4">
        <w:rPr>
          <w:rFonts w:eastAsia="Times New Roman" w:cs="Arial"/>
          <w:color w:val="222222"/>
          <w:shd w:val="clear" w:color="auto" w:fill="FFFFFF"/>
        </w:rPr>
        <w:t>. Those securing new coverage in 2018 will be subject to the new rate formulas and for those already covered, the new formulas will apply at the contract renewal in 2018.</w:t>
      </w:r>
    </w:p>
    <w:p w14:paraId="1C8F2ABB" w14:textId="77777777" w:rsidR="00E74985" w:rsidRPr="00E74985" w:rsidRDefault="00E74985" w:rsidP="00E74985">
      <w:pPr>
        <w:pStyle w:val="Normal1"/>
        <w:tabs>
          <w:tab w:val="left" w:pos="3960"/>
        </w:tabs>
        <w:ind w:left="-900" w:right="-630"/>
        <w:rPr>
          <w:rFonts w:ascii="Calibri" w:eastAsia="Calibri" w:hAnsi="Calibri" w:cs="Calibri"/>
          <w:b/>
        </w:rPr>
      </w:pPr>
    </w:p>
    <w:p w14:paraId="3B66FF3B" w14:textId="77777777" w:rsidR="00E74985" w:rsidRPr="00E74985" w:rsidRDefault="00E74985" w:rsidP="00E74985">
      <w:pPr>
        <w:pStyle w:val="Normal1"/>
        <w:tabs>
          <w:tab w:val="left" w:pos="3960"/>
        </w:tabs>
        <w:ind w:left="-900" w:right="-630"/>
        <w:rPr>
          <w:rFonts w:ascii="Calibri" w:eastAsia="Calibri" w:hAnsi="Calibri" w:cs="Calibri"/>
          <w:b/>
        </w:rPr>
      </w:pPr>
      <w:r w:rsidRPr="00E74985">
        <w:rPr>
          <w:rFonts w:ascii="Calibri" w:eastAsia="Calibri" w:hAnsi="Calibri" w:cs="Calibri"/>
          <w:b/>
        </w:rPr>
        <w:t>How much will rates change?</w:t>
      </w:r>
    </w:p>
    <w:p w14:paraId="795A5638" w14:textId="77777777" w:rsidR="00E74985" w:rsidRPr="003377F4" w:rsidRDefault="00E74985" w:rsidP="00E74985">
      <w:pPr>
        <w:ind w:left="-900"/>
        <w:rPr>
          <w:rFonts w:eastAsia="Times New Roman" w:cs="Times New Roman"/>
          <w:color w:val="auto"/>
        </w:rPr>
      </w:pPr>
      <w:r w:rsidRPr="003377F4">
        <w:rPr>
          <w:rFonts w:eastAsia="Times New Roman" w:cs="Arial"/>
          <w:color w:val="222222"/>
          <w:shd w:val="clear" w:color="auto" w:fill="FFFFFF"/>
        </w:rPr>
        <w:t>Table 1 below shows the new age bands, the new rate formulas (expressed as a ratio or percentage of the 21-year-old rate) and the percentage increase that individuals in the new age bands will experience.</w:t>
      </w:r>
    </w:p>
    <w:p w14:paraId="19AA8FBE" w14:textId="77777777" w:rsidR="00E74985" w:rsidRPr="00E74985" w:rsidRDefault="00E74985" w:rsidP="00E74985">
      <w:pPr>
        <w:pStyle w:val="Normal1"/>
        <w:tabs>
          <w:tab w:val="left" w:pos="3960"/>
        </w:tabs>
        <w:ind w:left="-900" w:right="-630"/>
        <w:rPr>
          <w:rFonts w:ascii="Calibri" w:eastAsia="Calibri" w:hAnsi="Calibri" w:cs="Calibri"/>
        </w:rPr>
      </w:pPr>
    </w:p>
    <w:p w14:paraId="3F5926FE" w14:textId="77777777" w:rsidR="00E74985" w:rsidRPr="003377F4" w:rsidRDefault="00E74985" w:rsidP="00E74985">
      <w:pPr>
        <w:ind w:left="-900"/>
        <w:rPr>
          <w:rFonts w:eastAsia="Times New Roman" w:cs="Times New Roman"/>
          <w:color w:val="auto"/>
        </w:rPr>
      </w:pPr>
      <w:r w:rsidRPr="003377F4">
        <w:rPr>
          <w:rFonts w:eastAsia="Times New Roman" w:cs="Arial"/>
          <w:color w:val="222222"/>
          <w:shd w:val="clear" w:color="auto" w:fill="FFFFFF"/>
        </w:rPr>
        <w:t>Currently the rate for anyone in the 0-20 band is 63.5% of the 21-year-old rate. In 2018, there will be seven new age bands, each having a unique rate formula. All new ratios as a percentage of the 21-year-old premium are higher and may lead to rate increases. For example, currently, a 19 year old’s rate is 63.5% of a 21-year-old’s rate. In 2018, it will be 94.1%. This is a 48% increase. There is no change to either the age bands or the rate formulas for ages 21 and above.</w:t>
      </w:r>
    </w:p>
    <w:p w14:paraId="172F2EE9" w14:textId="77777777" w:rsidR="00670069" w:rsidRDefault="00670069" w:rsidP="00926925">
      <w:pPr>
        <w:pStyle w:val="Normal1"/>
        <w:tabs>
          <w:tab w:val="left" w:pos="3960"/>
        </w:tabs>
        <w:ind w:left="-900" w:right="-630"/>
        <w:rPr>
          <w:rFonts w:ascii="Calibri" w:eastAsia="Calibri" w:hAnsi="Calibri" w:cs="Calibri"/>
          <w:i/>
          <w:sz w:val="18"/>
          <w:szCs w:val="18"/>
        </w:rPr>
      </w:pPr>
    </w:p>
    <w:p w14:paraId="753D72E3" w14:textId="08275F10" w:rsidR="00C10055" w:rsidRPr="00670069" w:rsidRDefault="00670069" w:rsidP="00670069">
      <w:pPr>
        <w:pStyle w:val="Normal1"/>
        <w:tabs>
          <w:tab w:val="left" w:pos="3960"/>
        </w:tabs>
        <w:ind w:left="-900" w:right="-630"/>
        <w:rPr>
          <w:rFonts w:ascii="Calibri" w:eastAsia="Calibri" w:hAnsi="Calibri" w:cs="Calibri"/>
          <w:i/>
          <w:sz w:val="18"/>
          <w:szCs w:val="18"/>
        </w:rPr>
      </w:pPr>
      <w:r w:rsidRPr="00670069">
        <w:rPr>
          <w:rFonts w:ascii="Calibri" w:eastAsia="Calibri" w:hAnsi="Calibri" w:cs="Calibri"/>
          <w:i/>
          <w:sz w:val="18"/>
          <w:szCs w:val="18"/>
        </w:rPr>
        <w:t>(continued)</w:t>
      </w:r>
    </w:p>
    <w:p w14:paraId="516D520C" w14:textId="77777777" w:rsidR="00C10055" w:rsidRDefault="00C10055" w:rsidP="00926925">
      <w:pPr>
        <w:pStyle w:val="Normal1"/>
        <w:tabs>
          <w:tab w:val="left" w:pos="3960"/>
        </w:tabs>
        <w:ind w:left="-900" w:right="-630"/>
        <w:rPr>
          <w:rFonts w:ascii="Calibri" w:eastAsia="Calibri" w:hAnsi="Calibri" w:cs="Calibri"/>
        </w:rPr>
      </w:pPr>
    </w:p>
    <w:p w14:paraId="210CB6F5" w14:textId="0325BAB5" w:rsidR="00E94C6C" w:rsidRDefault="004F3997" w:rsidP="00926925">
      <w:pPr>
        <w:pStyle w:val="Normal1"/>
        <w:tabs>
          <w:tab w:val="left" w:pos="3960"/>
        </w:tabs>
        <w:ind w:left="-900" w:right="-630"/>
        <w:rPr>
          <w:rFonts w:ascii="Calibri" w:eastAsia="Calibri" w:hAnsi="Calibri" w:cs="Calibri"/>
        </w:rPr>
      </w:pPr>
      <w:r>
        <w:rPr>
          <w:rFonts w:ascii="Calibri" w:eastAsia="Calibri" w:hAnsi="Calibri" w:cs="Calibri"/>
          <w:noProof/>
        </w:rPr>
        <w:drawing>
          <wp:inline distT="0" distB="0" distL="0" distR="0" wp14:anchorId="597850B3" wp14:editId="0185239F">
            <wp:extent cx="4207718" cy="228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NewRateFormula.jpg"/>
                    <pic:cNvPicPr/>
                  </pic:nvPicPr>
                  <pic:blipFill>
                    <a:blip r:embed="rId9">
                      <a:extLst>
                        <a:ext uri="{28A0092B-C50C-407E-A947-70E740481C1C}">
                          <a14:useLocalDpi xmlns:a14="http://schemas.microsoft.com/office/drawing/2010/main" val="0"/>
                        </a:ext>
                      </a:extLst>
                    </a:blip>
                    <a:stretch>
                      <a:fillRect/>
                    </a:stretch>
                  </pic:blipFill>
                  <pic:spPr>
                    <a:xfrm>
                      <a:off x="0" y="0"/>
                      <a:ext cx="4207718" cy="2286000"/>
                    </a:xfrm>
                    <a:prstGeom prst="rect">
                      <a:avLst/>
                    </a:prstGeom>
                  </pic:spPr>
                </pic:pic>
              </a:graphicData>
            </a:graphic>
          </wp:inline>
        </w:drawing>
      </w:r>
    </w:p>
    <w:p w14:paraId="5A39B63D" w14:textId="77777777" w:rsidR="00E74985" w:rsidRDefault="00E74985" w:rsidP="00926925">
      <w:pPr>
        <w:pStyle w:val="Normal1"/>
        <w:tabs>
          <w:tab w:val="left" w:pos="3960"/>
        </w:tabs>
        <w:ind w:left="-900" w:right="-630"/>
        <w:rPr>
          <w:rFonts w:ascii="Calibri" w:eastAsia="Calibri" w:hAnsi="Calibri" w:cs="Calibri"/>
          <w:b/>
        </w:rPr>
      </w:pPr>
    </w:p>
    <w:p w14:paraId="7FD39AAF" w14:textId="77777777" w:rsidR="00E94C6C" w:rsidRPr="003913BB" w:rsidRDefault="00E94C6C" w:rsidP="00926925">
      <w:pPr>
        <w:pStyle w:val="Normal1"/>
        <w:tabs>
          <w:tab w:val="left" w:pos="3960"/>
        </w:tabs>
        <w:ind w:left="-900" w:right="-630"/>
        <w:rPr>
          <w:rFonts w:ascii="Calibri" w:eastAsia="Calibri" w:hAnsi="Calibri" w:cs="Calibri"/>
          <w:b/>
        </w:rPr>
      </w:pPr>
      <w:r w:rsidRPr="003913BB">
        <w:rPr>
          <w:rFonts w:ascii="Calibri" w:eastAsia="Calibri" w:hAnsi="Calibri" w:cs="Calibri"/>
          <w:b/>
        </w:rPr>
        <w:t>What will not change?</w:t>
      </w:r>
    </w:p>
    <w:p w14:paraId="73E228ED" w14:textId="77777777" w:rsidR="00E94C6C" w:rsidRPr="003913BB" w:rsidRDefault="00E94C6C" w:rsidP="00926925">
      <w:pPr>
        <w:pStyle w:val="Normal1"/>
        <w:tabs>
          <w:tab w:val="left" w:pos="3960"/>
        </w:tabs>
        <w:spacing w:after="120"/>
        <w:ind w:left="-900" w:right="-630"/>
        <w:rPr>
          <w:rFonts w:ascii="Calibri" w:eastAsia="Calibri" w:hAnsi="Calibri" w:cs="Calibri"/>
        </w:rPr>
      </w:pPr>
      <w:r w:rsidRPr="003913BB">
        <w:rPr>
          <w:rFonts w:ascii="Calibri" w:eastAsia="Calibri" w:hAnsi="Calibri" w:cs="Calibri"/>
        </w:rPr>
        <w:t>The following are not affected by the new under-21 age bands</w:t>
      </w:r>
      <w:r>
        <w:rPr>
          <w:rFonts w:ascii="Calibri" w:eastAsia="Calibri" w:hAnsi="Calibri" w:cs="Calibri"/>
        </w:rPr>
        <w:t xml:space="preserve"> and formulas</w:t>
      </w:r>
      <w:r w:rsidRPr="003913BB">
        <w:rPr>
          <w:rFonts w:ascii="Calibri" w:eastAsia="Calibri" w:hAnsi="Calibri" w:cs="Calibri"/>
        </w:rPr>
        <w:t>:</w:t>
      </w:r>
    </w:p>
    <w:p w14:paraId="464907F4" w14:textId="77777777" w:rsidR="00E94C6C" w:rsidRPr="003913BB" w:rsidRDefault="00E94C6C" w:rsidP="00151B12">
      <w:pPr>
        <w:pStyle w:val="Normal1"/>
        <w:numPr>
          <w:ilvl w:val="0"/>
          <w:numId w:val="2"/>
        </w:numPr>
        <w:tabs>
          <w:tab w:val="left" w:pos="3960"/>
        </w:tabs>
        <w:ind w:left="360" w:right="-630"/>
        <w:rPr>
          <w:rFonts w:ascii="Calibri" w:eastAsia="Calibri" w:hAnsi="Calibri" w:cs="Calibri"/>
        </w:rPr>
      </w:pPr>
      <w:r w:rsidRPr="003913BB">
        <w:rPr>
          <w:rFonts w:ascii="Calibri" w:eastAsia="Calibri" w:hAnsi="Calibri" w:cs="Calibri"/>
        </w:rPr>
        <w:t xml:space="preserve">The 3:1 ratio </w:t>
      </w:r>
      <w:r>
        <w:rPr>
          <w:rFonts w:ascii="Calibri" w:eastAsia="Calibri" w:hAnsi="Calibri" w:cs="Calibri"/>
        </w:rPr>
        <w:t>between the rate for a 64 year old and a 21 year old</w:t>
      </w:r>
      <w:r w:rsidRPr="003913BB">
        <w:rPr>
          <w:rFonts w:ascii="Calibri" w:eastAsia="Calibri" w:hAnsi="Calibri" w:cs="Calibri"/>
        </w:rPr>
        <w:t xml:space="preserve">. </w:t>
      </w:r>
    </w:p>
    <w:p w14:paraId="7AC2FF38" w14:textId="77777777" w:rsidR="00E94C6C" w:rsidRPr="003913BB" w:rsidRDefault="00E94C6C" w:rsidP="00151B12">
      <w:pPr>
        <w:pStyle w:val="Normal1"/>
        <w:numPr>
          <w:ilvl w:val="0"/>
          <w:numId w:val="2"/>
        </w:numPr>
        <w:tabs>
          <w:tab w:val="left" w:pos="3960"/>
        </w:tabs>
        <w:ind w:left="360" w:right="-630"/>
        <w:rPr>
          <w:rFonts w:ascii="Calibri" w:eastAsia="Calibri" w:hAnsi="Calibri" w:cs="Calibri"/>
        </w:rPr>
      </w:pPr>
      <w:r w:rsidRPr="003913BB">
        <w:rPr>
          <w:rFonts w:ascii="Calibri" w:eastAsia="Calibri" w:hAnsi="Calibri" w:cs="Calibri"/>
        </w:rPr>
        <w:t xml:space="preserve">All rate formulas are still based on the 21-year-old rate. </w:t>
      </w:r>
    </w:p>
    <w:p w14:paraId="25C5F08C" w14:textId="77777777" w:rsidR="00E94C6C" w:rsidRPr="003913BB" w:rsidRDefault="00E94C6C" w:rsidP="00151B12">
      <w:pPr>
        <w:pStyle w:val="Normal1"/>
        <w:numPr>
          <w:ilvl w:val="0"/>
          <w:numId w:val="2"/>
        </w:numPr>
        <w:tabs>
          <w:tab w:val="left" w:pos="3960"/>
        </w:tabs>
        <w:ind w:left="360" w:right="-630"/>
        <w:rPr>
          <w:rFonts w:ascii="Calibri" w:eastAsia="Calibri" w:hAnsi="Calibri" w:cs="Calibri"/>
        </w:rPr>
      </w:pPr>
      <w:r w:rsidRPr="003913BB">
        <w:rPr>
          <w:rFonts w:ascii="Calibri" w:eastAsia="Calibri" w:hAnsi="Calibri" w:cs="Calibri"/>
        </w:rPr>
        <w:t>No changes to age bands or formulas for those aged 21 and above.</w:t>
      </w:r>
    </w:p>
    <w:p w14:paraId="35A9DF3C" w14:textId="77777777" w:rsidR="00E94C6C" w:rsidRDefault="00E94C6C" w:rsidP="00151B12">
      <w:pPr>
        <w:pStyle w:val="Normal1"/>
        <w:numPr>
          <w:ilvl w:val="0"/>
          <w:numId w:val="2"/>
        </w:numPr>
        <w:tabs>
          <w:tab w:val="left" w:pos="3960"/>
        </w:tabs>
        <w:ind w:left="360" w:right="-630"/>
        <w:rPr>
          <w:rFonts w:ascii="Calibri" w:eastAsia="Calibri" w:hAnsi="Calibri" w:cs="Calibri"/>
        </w:rPr>
      </w:pPr>
      <w:r w:rsidRPr="00A72447">
        <w:rPr>
          <w:rFonts w:ascii="Calibri" w:eastAsia="Calibri" w:hAnsi="Calibri" w:cs="Calibri"/>
        </w:rPr>
        <w:t>The fo</w:t>
      </w:r>
      <w:r>
        <w:rPr>
          <w:rFonts w:ascii="Calibri" w:eastAsia="Calibri" w:hAnsi="Calibri" w:cs="Calibri"/>
        </w:rPr>
        <w:t>urth (and subsequent) dependent</w:t>
      </w:r>
      <w:r w:rsidRPr="00A72447">
        <w:rPr>
          <w:rFonts w:ascii="Calibri" w:eastAsia="Calibri" w:hAnsi="Calibri" w:cs="Calibri"/>
        </w:rPr>
        <w:t xml:space="preserve"> under 21 will continue </w:t>
      </w:r>
      <w:r>
        <w:rPr>
          <w:rFonts w:ascii="Calibri" w:eastAsia="Calibri" w:hAnsi="Calibri" w:cs="Calibri"/>
        </w:rPr>
        <w:t>be no cost.</w:t>
      </w:r>
    </w:p>
    <w:p w14:paraId="50E5D95D" w14:textId="77777777" w:rsidR="00E94C6C" w:rsidRDefault="00E94C6C" w:rsidP="00151B12">
      <w:pPr>
        <w:pStyle w:val="Normal1"/>
        <w:numPr>
          <w:ilvl w:val="0"/>
          <w:numId w:val="2"/>
        </w:numPr>
        <w:tabs>
          <w:tab w:val="left" w:pos="3960"/>
        </w:tabs>
        <w:ind w:left="360" w:right="-630"/>
        <w:rPr>
          <w:rFonts w:ascii="Calibri" w:eastAsia="Calibri" w:hAnsi="Calibri" w:cs="Calibri"/>
        </w:rPr>
      </w:pPr>
      <w:r>
        <w:rPr>
          <w:rFonts w:ascii="Calibri" w:eastAsia="Calibri" w:hAnsi="Calibri" w:cs="Calibri"/>
        </w:rPr>
        <w:t>Dependent children age 21-25 will be rated individually based on age.</w:t>
      </w:r>
    </w:p>
    <w:p w14:paraId="1CD09316" w14:textId="77777777" w:rsidR="00E94C6C" w:rsidRDefault="00E94C6C" w:rsidP="00926925">
      <w:pPr>
        <w:pStyle w:val="Normal1"/>
        <w:tabs>
          <w:tab w:val="left" w:pos="3960"/>
        </w:tabs>
        <w:ind w:left="-900" w:right="-630"/>
        <w:rPr>
          <w:rFonts w:ascii="Calibri" w:eastAsia="Calibri" w:hAnsi="Calibri" w:cs="Calibri"/>
        </w:rPr>
      </w:pPr>
    </w:p>
    <w:p w14:paraId="08A785B7" w14:textId="77777777" w:rsidR="00E94C6C" w:rsidRPr="00CF0A7B" w:rsidRDefault="00E94C6C" w:rsidP="00926925">
      <w:pPr>
        <w:pStyle w:val="Normal1"/>
        <w:tabs>
          <w:tab w:val="left" w:pos="3960"/>
        </w:tabs>
        <w:ind w:left="-900" w:right="-630"/>
        <w:rPr>
          <w:rFonts w:ascii="Calibri" w:eastAsia="Calibri" w:hAnsi="Calibri" w:cs="Calibri"/>
          <w:b/>
        </w:rPr>
      </w:pPr>
      <w:r w:rsidRPr="00CF0A7B">
        <w:rPr>
          <w:rFonts w:ascii="Calibri" w:eastAsia="Calibri" w:hAnsi="Calibri" w:cs="Calibri"/>
          <w:b/>
        </w:rPr>
        <w:t>Example:</w:t>
      </w:r>
    </w:p>
    <w:p w14:paraId="1DC18557" w14:textId="77777777" w:rsidR="00E94C6C" w:rsidRDefault="00E94C6C" w:rsidP="00926925">
      <w:pPr>
        <w:pStyle w:val="Normal1"/>
        <w:tabs>
          <w:tab w:val="left" w:pos="3960"/>
        </w:tabs>
        <w:ind w:left="-900" w:right="-630"/>
        <w:rPr>
          <w:rFonts w:ascii="Calibri" w:eastAsia="Calibri" w:hAnsi="Calibri" w:cs="Calibri"/>
        </w:rPr>
      </w:pPr>
      <w:r w:rsidRPr="003913BB">
        <w:rPr>
          <w:rFonts w:ascii="Calibri" w:eastAsia="Calibri" w:hAnsi="Calibri" w:cs="Calibri"/>
        </w:rPr>
        <w:t>Below is an example of how the new age bands</w:t>
      </w:r>
      <w:r>
        <w:rPr>
          <w:rFonts w:ascii="Calibri" w:eastAsia="Calibri" w:hAnsi="Calibri" w:cs="Calibri"/>
        </w:rPr>
        <w:t xml:space="preserve"> and formulas</w:t>
      </w:r>
      <w:r w:rsidRPr="003913BB">
        <w:rPr>
          <w:rFonts w:ascii="Calibri" w:eastAsia="Calibri" w:hAnsi="Calibri" w:cs="Calibri"/>
        </w:rPr>
        <w:t xml:space="preserve"> will impact one family considering new group coverage with an effective date of December 2017 versus January 2018. This example also illustrates how the carrier rate action may impact those over 21</w:t>
      </w:r>
      <w:r>
        <w:rPr>
          <w:rFonts w:ascii="Calibri" w:eastAsia="Calibri" w:hAnsi="Calibri" w:cs="Calibri"/>
        </w:rPr>
        <w:t xml:space="preserve"> (note the small decrease in the over-21 rate which the carrier made because they were able to rate the under 21 members more accurately)</w:t>
      </w:r>
      <w:r w:rsidRPr="003913BB">
        <w:rPr>
          <w:rFonts w:ascii="Calibri" w:eastAsia="Calibri" w:hAnsi="Calibri" w:cs="Calibri"/>
        </w:rPr>
        <w:t xml:space="preserve">. </w:t>
      </w:r>
    </w:p>
    <w:p w14:paraId="24251580" w14:textId="77777777" w:rsidR="00151B12" w:rsidRPr="003913BB" w:rsidRDefault="00151B12" w:rsidP="00926925">
      <w:pPr>
        <w:pStyle w:val="Normal1"/>
        <w:tabs>
          <w:tab w:val="left" w:pos="3960"/>
        </w:tabs>
        <w:ind w:left="-900" w:right="-630"/>
        <w:rPr>
          <w:rFonts w:ascii="Calibri" w:eastAsia="Calibri" w:hAnsi="Calibri" w:cs="Calibri"/>
        </w:rPr>
      </w:pPr>
    </w:p>
    <w:p w14:paraId="73D62D60" w14:textId="7A97A718" w:rsidR="00E74985" w:rsidRDefault="004F3997" w:rsidP="00E74985">
      <w:pPr>
        <w:tabs>
          <w:tab w:val="left" w:pos="90"/>
          <w:tab w:val="left" w:pos="3960"/>
        </w:tabs>
        <w:ind w:left="-900" w:right="-630"/>
      </w:pPr>
      <w:r>
        <w:rPr>
          <w:noProof/>
        </w:rPr>
        <w:drawing>
          <wp:inline distT="0" distB="0" distL="0" distR="0" wp14:anchorId="232AF41A" wp14:editId="5D90B977">
            <wp:extent cx="4330700" cy="235281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0">
                      <a:extLst>
                        <a:ext uri="{28A0092B-C50C-407E-A947-70E740481C1C}">
                          <a14:useLocalDpi xmlns:a14="http://schemas.microsoft.com/office/drawing/2010/main" val="0"/>
                        </a:ext>
                      </a:extLst>
                    </a:blip>
                    <a:stretch>
                      <a:fillRect/>
                    </a:stretch>
                  </pic:blipFill>
                  <pic:spPr>
                    <a:xfrm>
                      <a:off x="0" y="0"/>
                      <a:ext cx="4332142" cy="2353596"/>
                    </a:xfrm>
                    <a:prstGeom prst="rect">
                      <a:avLst/>
                    </a:prstGeom>
                  </pic:spPr>
                </pic:pic>
              </a:graphicData>
            </a:graphic>
          </wp:inline>
        </w:drawing>
      </w:r>
    </w:p>
    <w:p w14:paraId="69F167A8" w14:textId="77777777" w:rsidR="00C10055" w:rsidRDefault="00C10055" w:rsidP="00926925">
      <w:pPr>
        <w:pStyle w:val="Normal1"/>
        <w:tabs>
          <w:tab w:val="left" w:pos="3960"/>
        </w:tabs>
        <w:ind w:left="-900" w:right="-630"/>
        <w:rPr>
          <w:rFonts w:ascii="Calibri" w:eastAsia="Calibri" w:hAnsi="Calibri" w:cs="Calibri"/>
          <w:b/>
        </w:rPr>
      </w:pPr>
    </w:p>
    <w:p w14:paraId="49F5EFA1" w14:textId="77777777" w:rsidR="00E94C6C" w:rsidRDefault="00E94C6C" w:rsidP="00926925">
      <w:pPr>
        <w:pStyle w:val="Normal1"/>
        <w:tabs>
          <w:tab w:val="left" w:pos="3960"/>
        </w:tabs>
        <w:ind w:left="-900" w:right="-630"/>
        <w:rPr>
          <w:rFonts w:ascii="Calibri" w:eastAsia="Calibri" w:hAnsi="Calibri" w:cs="Calibri"/>
          <w:b/>
        </w:rPr>
      </w:pPr>
      <w:r>
        <w:rPr>
          <w:rFonts w:ascii="Calibri" w:eastAsia="Calibri" w:hAnsi="Calibri" w:cs="Calibri"/>
          <w:b/>
        </w:rPr>
        <w:t>Resources</w:t>
      </w:r>
    </w:p>
    <w:p w14:paraId="626A25A9" w14:textId="787148CA" w:rsidR="00F13197" w:rsidRDefault="00E94C6C" w:rsidP="001069E8">
      <w:pPr>
        <w:pStyle w:val="Normal1"/>
        <w:tabs>
          <w:tab w:val="left" w:pos="3960"/>
        </w:tabs>
        <w:ind w:left="-900" w:right="-630"/>
      </w:pPr>
      <w:r>
        <w:rPr>
          <w:rFonts w:ascii="Calibri" w:eastAsia="Calibri" w:hAnsi="Calibri" w:cs="Calibri"/>
        </w:rPr>
        <w:t xml:space="preserve">The Centers for Medicare and Medicaid Services published </w:t>
      </w:r>
      <w:hyperlink r:id="rId11" w:history="1">
        <w:r w:rsidRPr="00D22ED3">
          <w:rPr>
            <w:rStyle w:val="Hyperlink"/>
            <w:rFonts w:ascii="Calibri" w:eastAsia="Calibri" w:hAnsi="Calibri" w:cs="Calibri"/>
          </w:rPr>
          <w:t xml:space="preserve">Guidance Regarding Age Curves and State Reporting </w:t>
        </w:r>
      </w:hyperlink>
      <w:r>
        <w:rPr>
          <w:rFonts w:ascii="Calibri" w:eastAsia="Calibri" w:hAnsi="Calibri" w:cs="Calibri"/>
        </w:rPr>
        <w:t>for the benefit of each state and which specifies the new age bands and formulas.</w:t>
      </w:r>
      <w:r w:rsidR="00FE1946">
        <w:t xml:space="preserve"> </w:t>
      </w:r>
    </w:p>
    <w:sectPr w:rsidR="00F13197" w:rsidSect="007D196B">
      <w:headerReference w:type="default" r:id="rId12"/>
      <w:pgSz w:w="12240" w:h="15840"/>
      <w:pgMar w:top="1170" w:right="171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26C88" w14:textId="77777777" w:rsidR="00FE1946" w:rsidRDefault="00FE1946" w:rsidP="00E94C6C">
      <w:r>
        <w:separator/>
      </w:r>
    </w:p>
  </w:endnote>
  <w:endnote w:type="continuationSeparator" w:id="0">
    <w:p w14:paraId="14C3AF47" w14:textId="77777777" w:rsidR="00FE1946" w:rsidRDefault="00FE1946" w:rsidP="00E9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B6A62" w14:textId="77777777" w:rsidR="00FE1946" w:rsidRDefault="00FE1946" w:rsidP="00E94C6C">
      <w:r>
        <w:separator/>
      </w:r>
    </w:p>
  </w:footnote>
  <w:footnote w:type="continuationSeparator" w:id="0">
    <w:p w14:paraId="25AD88B9" w14:textId="77777777" w:rsidR="00FE1946" w:rsidRDefault="00FE1946" w:rsidP="00E94C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BBEC" w14:textId="4A9F432F" w:rsidR="00FE1946" w:rsidRDefault="00FE1946">
    <w:pPr>
      <w:pStyle w:val="Header"/>
    </w:pPr>
    <w:r>
      <w:rPr>
        <w:noProof/>
      </w:rPr>
      <mc:AlternateContent>
        <mc:Choice Requires="wps">
          <w:drawing>
            <wp:anchor distT="0" distB="0" distL="114300" distR="114300" simplePos="0" relativeHeight="251660288" behindDoc="0" locked="0" layoutInCell="1" allowOverlap="1" wp14:anchorId="3D4490C5" wp14:editId="462E1F37">
              <wp:simplePos x="0" y="0"/>
              <wp:positionH relativeFrom="column">
                <wp:posOffset>228600</wp:posOffset>
              </wp:positionH>
              <wp:positionV relativeFrom="paragraph">
                <wp:posOffset>-342900</wp:posOffset>
              </wp:positionV>
              <wp:extent cx="50292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059C5" w14:textId="77777777" w:rsidR="00F13197" w:rsidRDefault="00F13197" w:rsidP="00F13197">
                          <w:pPr>
                            <w:jc w:val="center"/>
                            <w:rPr>
                              <w:sz w:val="36"/>
                            </w:rPr>
                          </w:pPr>
                        </w:p>
                        <w:p w14:paraId="318B6773" w14:textId="2ED390D9" w:rsidR="00FE1946" w:rsidRPr="00926925" w:rsidRDefault="00F13197" w:rsidP="00F13197">
                          <w:pPr>
                            <w:jc w:val="center"/>
                            <w:rPr>
                              <w:sz w:val="36"/>
                            </w:rPr>
                          </w:pPr>
                          <w:r>
                            <w:rPr>
                              <w:sz w:val="36"/>
                            </w:rPr>
                            <w:t>Double click to add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8pt;margin-top:-26.95pt;width:39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" filled="f" stroked="f">
              <v:textbox>
                <w:txbxContent>
                  <w:p w14:paraId="727059C5" w14:textId="77777777" w:rsidR="00F13197" w:rsidRDefault="00F13197" w:rsidP="00F13197">
                    <w:pPr>
                      <w:jc w:val="center"/>
                      <w:rPr>
                        <w:sz w:val="36"/>
                      </w:rPr>
                    </w:pPr>
                  </w:p>
                  <w:p w14:paraId="318B6773" w14:textId="2ED390D9" w:rsidR="00FE1946" w:rsidRPr="00926925" w:rsidRDefault="00F13197" w:rsidP="00F13197">
                    <w:pPr>
                      <w:jc w:val="center"/>
                      <w:rPr>
                        <w:sz w:val="36"/>
                      </w:rPr>
                    </w:pPr>
                    <w:r>
                      <w:rPr>
                        <w:sz w:val="36"/>
                      </w:rPr>
                      <w:t>Double click to add your logo here</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522E"/>
    <w:multiLevelType w:val="hybridMultilevel"/>
    <w:tmpl w:val="E7A8CA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8234F"/>
    <w:multiLevelType w:val="hybridMultilevel"/>
    <w:tmpl w:val="B2CCD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6C"/>
    <w:rsid w:val="001069E8"/>
    <w:rsid w:val="00151B12"/>
    <w:rsid w:val="00365638"/>
    <w:rsid w:val="00451107"/>
    <w:rsid w:val="004F3997"/>
    <w:rsid w:val="00572C19"/>
    <w:rsid w:val="00670069"/>
    <w:rsid w:val="006929DD"/>
    <w:rsid w:val="007D196B"/>
    <w:rsid w:val="007F3481"/>
    <w:rsid w:val="008F2282"/>
    <w:rsid w:val="00912BBC"/>
    <w:rsid w:val="00926925"/>
    <w:rsid w:val="00C10055"/>
    <w:rsid w:val="00D64B67"/>
    <w:rsid w:val="00D90677"/>
    <w:rsid w:val="00E74985"/>
    <w:rsid w:val="00E94C6C"/>
    <w:rsid w:val="00F13197"/>
    <w:rsid w:val="00FE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35A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Segoe U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C6C"/>
    <w:pPr>
      <w:tabs>
        <w:tab w:val="center" w:pos="4320"/>
        <w:tab w:val="right" w:pos="8640"/>
      </w:tabs>
    </w:pPr>
  </w:style>
  <w:style w:type="character" w:customStyle="1" w:styleId="HeaderChar">
    <w:name w:val="Header Char"/>
    <w:basedOn w:val="DefaultParagraphFont"/>
    <w:link w:val="Header"/>
    <w:uiPriority w:val="99"/>
    <w:rsid w:val="00E94C6C"/>
  </w:style>
  <w:style w:type="paragraph" w:styleId="Footer">
    <w:name w:val="footer"/>
    <w:basedOn w:val="Normal"/>
    <w:link w:val="FooterChar"/>
    <w:uiPriority w:val="99"/>
    <w:unhideWhenUsed/>
    <w:rsid w:val="00E94C6C"/>
    <w:pPr>
      <w:tabs>
        <w:tab w:val="center" w:pos="4320"/>
        <w:tab w:val="right" w:pos="8640"/>
      </w:tabs>
    </w:pPr>
  </w:style>
  <w:style w:type="character" w:customStyle="1" w:styleId="FooterChar">
    <w:name w:val="Footer Char"/>
    <w:basedOn w:val="DefaultParagraphFont"/>
    <w:link w:val="Footer"/>
    <w:uiPriority w:val="99"/>
    <w:rsid w:val="00E94C6C"/>
  </w:style>
  <w:style w:type="paragraph" w:styleId="BalloonText">
    <w:name w:val="Balloon Text"/>
    <w:basedOn w:val="Normal"/>
    <w:link w:val="BalloonTextChar"/>
    <w:uiPriority w:val="99"/>
    <w:semiHidden/>
    <w:unhideWhenUsed/>
    <w:rsid w:val="00E94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C6C"/>
    <w:rPr>
      <w:rFonts w:ascii="Lucida Grande" w:hAnsi="Lucida Grande" w:cs="Lucida Grande"/>
      <w:sz w:val="18"/>
      <w:szCs w:val="18"/>
    </w:rPr>
  </w:style>
  <w:style w:type="table" w:styleId="LightList-Accent1">
    <w:name w:val="Light List Accent 1"/>
    <w:basedOn w:val="TableNormal"/>
    <w:uiPriority w:val="61"/>
    <w:rsid w:val="00E94C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E94C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rsid w:val="00E94C6C"/>
    <w:pPr>
      <w:widowControl w:val="0"/>
    </w:pPr>
    <w:rPr>
      <w:rFonts w:ascii="Times New Roman" w:eastAsia="Times New Roman" w:hAnsi="Times New Roman" w:cs="Times New Roman"/>
    </w:rPr>
  </w:style>
  <w:style w:type="character" w:styleId="Hyperlink">
    <w:name w:val="Hyperlink"/>
    <w:basedOn w:val="DefaultParagraphFont"/>
    <w:uiPriority w:val="99"/>
    <w:unhideWhenUsed/>
    <w:rsid w:val="00E94C6C"/>
    <w:rPr>
      <w:color w:val="0000FF" w:themeColor="hyperlink"/>
      <w:u w:val="single"/>
    </w:rPr>
  </w:style>
  <w:style w:type="character" w:styleId="FollowedHyperlink">
    <w:name w:val="FollowedHyperlink"/>
    <w:basedOn w:val="DefaultParagraphFont"/>
    <w:uiPriority w:val="99"/>
    <w:semiHidden/>
    <w:unhideWhenUsed/>
    <w:rsid w:val="00E94C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Segoe U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C6C"/>
    <w:pPr>
      <w:tabs>
        <w:tab w:val="center" w:pos="4320"/>
        <w:tab w:val="right" w:pos="8640"/>
      </w:tabs>
    </w:pPr>
  </w:style>
  <w:style w:type="character" w:customStyle="1" w:styleId="HeaderChar">
    <w:name w:val="Header Char"/>
    <w:basedOn w:val="DefaultParagraphFont"/>
    <w:link w:val="Header"/>
    <w:uiPriority w:val="99"/>
    <w:rsid w:val="00E94C6C"/>
  </w:style>
  <w:style w:type="paragraph" w:styleId="Footer">
    <w:name w:val="footer"/>
    <w:basedOn w:val="Normal"/>
    <w:link w:val="FooterChar"/>
    <w:uiPriority w:val="99"/>
    <w:unhideWhenUsed/>
    <w:rsid w:val="00E94C6C"/>
    <w:pPr>
      <w:tabs>
        <w:tab w:val="center" w:pos="4320"/>
        <w:tab w:val="right" w:pos="8640"/>
      </w:tabs>
    </w:pPr>
  </w:style>
  <w:style w:type="character" w:customStyle="1" w:styleId="FooterChar">
    <w:name w:val="Footer Char"/>
    <w:basedOn w:val="DefaultParagraphFont"/>
    <w:link w:val="Footer"/>
    <w:uiPriority w:val="99"/>
    <w:rsid w:val="00E94C6C"/>
  </w:style>
  <w:style w:type="paragraph" w:styleId="BalloonText">
    <w:name w:val="Balloon Text"/>
    <w:basedOn w:val="Normal"/>
    <w:link w:val="BalloonTextChar"/>
    <w:uiPriority w:val="99"/>
    <w:semiHidden/>
    <w:unhideWhenUsed/>
    <w:rsid w:val="00E94C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C6C"/>
    <w:rPr>
      <w:rFonts w:ascii="Lucida Grande" w:hAnsi="Lucida Grande" w:cs="Lucida Grande"/>
      <w:sz w:val="18"/>
      <w:szCs w:val="18"/>
    </w:rPr>
  </w:style>
  <w:style w:type="table" w:styleId="LightList-Accent1">
    <w:name w:val="Light List Accent 1"/>
    <w:basedOn w:val="TableNormal"/>
    <w:uiPriority w:val="61"/>
    <w:rsid w:val="00E94C6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E94C6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rsid w:val="00E94C6C"/>
    <w:pPr>
      <w:widowControl w:val="0"/>
    </w:pPr>
    <w:rPr>
      <w:rFonts w:ascii="Times New Roman" w:eastAsia="Times New Roman" w:hAnsi="Times New Roman" w:cs="Times New Roman"/>
    </w:rPr>
  </w:style>
  <w:style w:type="character" w:styleId="Hyperlink">
    <w:name w:val="Hyperlink"/>
    <w:basedOn w:val="DefaultParagraphFont"/>
    <w:uiPriority w:val="99"/>
    <w:unhideWhenUsed/>
    <w:rsid w:val="00E94C6C"/>
    <w:rPr>
      <w:color w:val="0000FF" w:themeColor="hyperlink"/>
      <w:u w:val="single"/>
    </w:rPr>
  </w:style>
  <w:style w:type="character" w:styleId="FollowedHyperlink">
    <w:name w:val="FollowedHyperlink"/>
    <w:basedOn w:val="DefaultParagraphFont"/>
    <w:uiPriority w:val="99"/>
    <w:semiHidden/>
    <w:unhideWhenUsed/>
    <w:rsid w:val="00E94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ms.gov/CCIIO/Resources/Regulations-and-Guidance/Downloads/Final-Guidance-Regarding-Age-Curves-and-State-Reporting-12-16-16.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21DA-320B-DF4C-80D8-57370648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3256</Characters>
  <Application>Microsoft Macintosh Word</Application>
  <DocSecurity>0</DocSecurity>
  <Lines>27</Lines>
  <Paragraphs>7</Paragraphs>
  <ScaleCrop>false</ScaleCrop>
  <Company>Claremont Insurance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McLemore</dc:creator>
  <cp:keywords/>
  <dc:description/>
  <cp:lastModifiedBy>Lori Berson</cp:lastModifiedBy>
  <cp:revision>11</cp:revision>
  <cp:lastPrinted>2017-09-14T23:27:00Z</cp:lastPrinted>
  <dcterms:created xsi:type="dcterms:W3CDTF">2017-09-15T00:41:00Z</dcterms:created>
  <dcterms:modified xsi:type="dcterms:W3CDTF">2017-09-19T21:43:00Z</dcterms:modified>
</cp:coreProperties>
</file>